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6663"/>
        </w:tabs>
        <w:ind w:firstLine="666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2</w:t>
      </w:r>
    </w:p>
    <w:p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Дополнительному соглашению № 2</w:t>
      </w:r>
    </w:p>
    <w:p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«23»  мая   2019 года</w:t>
      </w:r>
    </w:p>
    <w:p>
      <w:pPr>
        <w:jc w:val="right"/>
        <w:rPr>
          <w:sz w:val="24"/>
          <w:szCs w:val="24"/>
        </w:rPr>
      </w:pPr>
    </w:p>
    <w:p>
      <w:pPr>
        <w:ind w:firstLine="567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Порядок оплаты профилактических медицинских осмотров и диспансеризации </w:t>
      </w:r>
    </w:p>
    <w:p>
      <w:pPr>
        <w:ind w:firstLine="567"/>
        <w:jc w:val="center"/>
        <w:rPr>
          <w:sz w:val="28"/>
          <w:szCs w:val="24"/>
        </w:rPr>
      </w:pPr>
      <w:r>
        <w:rPr>
          <w:b/>
          <w:sz w:val="28"/>
          <w:szCs w:val="24"/>
        </w:rPr>
        <w:t>определенных гру</w:t>
      </w:r>
      <w:proofErr w:type="gramStart"/>
      <w:r>
        <w:rPr>
          <w:b/>
          <w:sz w:val="28"/>
          <w:szCs w:val="24"/>
        </w:rPr>
        <w:t>пп взр</w:t>
      </w:r>
      <w:proofErr w:type="gramEnd"/>
      <w:r>
        <w:rPr>
          <w:b/>
          <w:sz w:val="28"/>
          <w:szCs w:val="24"/>
        </w:rPr>
        <w:t xml:space="preserve">ослого населения </w:t>
      </w:r>
    </w:p>
    <w:p>
      <w:pPr>
        <w:ind w:firstLine="567"/>
        <w:jc w:val="center"/>
        <w:rPr>
          <w:b/>
          <w:sz w:val="28"/>
          <w:szCs w:val="24"/>
        </w:rPr>
      </w:pPr>
    </w:p>
    <w:p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b/>
          <w:sz w:val="28"/>
          <w:szCs w:val="24"/>
        </w:rPr>
        <w:t>1</w:t>
      </w:r>
      <w:r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Порядок проведения в медицинских организациях профилактического медицинского осмотра и диспансеризации определенных гру</w:t>
      </w:r>
      <w:proofErr w:type="gramStart"/>
      <w:r>
        <w:rPr>
          <w:sz w:val="26"/>
          <w:szCs w:val="26"/>
        </w:rPr>
        <w:t>пп взр</w:t>
      </w:r>
      <w:proofErr w:type="gramEnd"/>
      <w:r>
        <w:rPr>
          <w:sz w:val="26"/>
          <w:szCs w:val="26"/>
        </w:rPr>
        <w:t>ослого населения утвержден приказом Министерства здравоохранения Российской Федерации от 13 марта 2019 года № 124н «Об утверждении порядка проведения профилактического медицинского осмотра и диспансеризации определенных групп взрослого населения».</w:t>
      </w:r>
    </w:p>
    <w:p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2.</w:t>
      </w:r>
      <w:r>
        <w:rPr>
          <w:sz w:val="26"/>
          <w:szCs w:val="26"/>
        </w:rPr>
        <w:t xml:space="preserve"> Финансовое обеспечение медицинских организаций, участвующих в проведении профилактического медицинского осмотра и диспансеризации определенных гру</w:t>
      </w:r>
      <w:proofErr w:type="gramStart"/>
      <w:r>
        <w:rPr>
          <w:sz w:val="26"/>
          <w:szCs w:val="26"/>
        </w:rPr>
        <w:t>пп взр</w:t>
      </w:r>
      <w:proofErr w:type="gramEnd"/>
      <w:r>
        <w:rPr>
          <w:sz w:val="26"/>
          <w:szCs w:val="26"/>
        </w:rPr>
        <w:t>ослого населения, осуществляется  за счет средств</w:t>
      </w:r>
      <w:r>
        <w:rPr>
          <w:color w:val="C00000"/>
          <w:sz w:val="26"/>
          <w:szCs w:val="26"/>
        </w:rPr>
        <w:t xml:space="preserve"> </w:t>
      </w:r>
      <w:r>
        <w:rPr>
          <w:sz w:val="26"/>
          <w:szCs w:val="26"/>
        </w:rPr>
        <w:t xml:space="preserve">обязательного медицинского страхования, в рамках Территориальной программы государственных гарантий бесплатного оказания гражданам медицинской помощи на территории Магаданской области, действующей в текущем году.  </w:t>
      </w:r>
    </w:p>
    <w:p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3.</w:t>
      </w:r>
      <w:r>
        <w:rPr>
          <w:sz w:val="26"/>
          <w:szCs w:val="26"/>
        </w:rPr>
        <w:t xml:space="preserve"> Профилактический медицинский осмотр проводится ежегодно:</w:t>
      </w:r>
    </w:p>
    <w:p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1) в качестве самостоятельного мероприятия;</w:t>
      </w:r>
    </w:p>
    <w:p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2) в рамках диспансеризации;</w:t>
      </w:r>
    </w:p>
    <w:p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3) в рамках диспансерного наблюдения (при проведении первого в текущем году диспансерного приёма (осмотра, консультации).</w:t>
      </w:r>
    </w:p>
    <w:p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Диспансеризация проводится:</w:t>
      </w:r>
    </w:p>
    <w:p>
      <w:pPr>
        <w:pStyle w:val="a8"/>
        <w:numPr>
          <w:ilvl w:val="0"/>
          <w:numId w:val="20"/>
        </w:numPr>
        <w:spacing w:after="12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1 раз в три года в возрасте от 18 до 39 лет включительно;</w:t>
      </w:r>
    </w:p>
    <w:p>
      <w:pPr>
        <w:pStyle w:val="a8"/>
        <w:numPr>
          <w:ilvl w:val="0"/>
          <w:numId w:val="20"/>
        </w:numPr>
        <w:spacing w:after="12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ежегодно в возрасте 40 лет и старше, а также в отношении отдельных категорий граждан, включая:</w:t>
      </w:r>
    </w:p>
    <w:p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а) инвалидов Великой Отечественной войны и инвалидов боевых действий, а также участников Великой Отечественной войны, ставших инвалидами вследствие общего заболевания, трудового увечья или других причин (кроме лиц, инвалидность которых наступила вследствие их противоправных действий);</w:t>
      </w:r>
    </w:p>
    <w:p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б) лиц, награжденных знаком «Жителю блокадного Ленинграда» и признанных инвалидами вследствие общего заболевания, трудового увечья и других причин (кроме лиц, инвалидность которых наступила вследствие их противоправных действий);</w:t>
      </w:r>
    </w:p>
    <w:p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в) бывших несовершеннолетних узников концлагерей, гетто, других мест принудительного содержания, созданных фашистами и их союзниками в период второй мировой войны, признанных инвалидами вследствие общего заболевания, трудового увечья и других причин (за исключением лиц, инвалидность которых наступила вследствие их противоправных действий);</w:t>
      </w:r>
    </w:p>
    <w:p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г) работающих  граждан, не достигших возраста, дающего право на назначение пенсии по старости, в том числе досрочно, в  течение пяти лет до наступления такого возраста и работающих граждан, являющихся получателями пенсии по старости или пенсии за выслугу лет.</w:t>
      </w:r>
    </w:p>
    <w:p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4.</w:t>
      </w:r>
      <w:r>
        <w:rPr>
          <w:sz w:val="26"/>
          <w:szCs w:val="26"/>
        </w:rPr>
        <w:t xml:space="preserve"> Годом прохождения диспансеризации считается календарный год, в котором гражданин достигает соответствующего возраста.</w:t>
      </w:r>
    </w:p>
    <w:p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5.</w:t>
      </w:r>
      <w:r>
        <w:rPr>
          <w:sz w:val="26"/>
          <w:szCs w:val="26"/>
        </w:rPr>
        <w:t xml:space="preserve"> Гражданин  проходит профилактический медицинский осмотр и диспансеризацию в медицинской организации, в которой он получает первичную медико-санитарную помощь.</w:t>
      </w:r>
    </w:p>
    <w:p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6.</w:t>
      </w:r>
      <w:r>
        <w:rPr>
          <w:sz w:val="26"/>
          <w:szCs w:val="26"/>
        </w:rPr>
        <w:t xml:space="preserve"> Гражданин вправе отказаться от проведения профилактического медицинского осмотра и (или) диспансеризации в целом, либо от отдельных видов медицинских вмешательств, входящих в объём профилактического медицинского осмотра и (или) диспансеризации.</w:t>
      </w:r>
    </w:p>
    <w:p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7.</w:t>
      </w:r>
      <w:r>
        <w:rPr>
          <w:sz w:val="26"/>
          <w:szCs w:val="26"/>
        </w:rPr>
        <w:t xml:space="preserve"> Диспансеризация проводится в два этапа.</w:t>
      </w:r>
    </w:p>
    <w:p>
      <w:pPr>
        <w:spacing w:after="120"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8.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При проведении профилактического медицинского осмотра и диспансеризации могут учитываться результаты ранее проведенных (не позднее одного года) медицинских осмотров, диспансеризации, подтвержденные медицинскими документами гражданина, за исключением случаев выявления у него симптомов и синдромов заболеваний,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диспансеризации.</w:t>
      </w:r>
      <w:proofErr w:type="gramEnd"/>
    </w:p>
    <w:p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9.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Профилактический медицинский осмотр и первый этап диспансеризации считается завершенным в случае выполнения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приём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</w:t>
      </w:r>
      <w:proofErr w:type="gramEnd"/>
      <w:r>
        <w:rPr>
          <w:sz w:val="26"/>
          <w:szCs w:val="26"/>
        </w:rPr>
        <w:t xml:space="preserve">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</w:t>
      </w:r>
      <w:proofErr w:type="gramStart"/>
      <w:r>
        <w:rPr>
          <w:sz w:val="26"/>
          <w:szCs w:val="26"/>
        </w:rPr>
        <w:t>простат-специфического</w:t>
      </w:r>
      <w:proofErr w:type="gramEnd"/>
      <w:r>
        <w:rPr>
          <w:sz w:val="26"/>
          <w:szCs w:val="26"/>
        </w:rPr>
        <w:t xml:space="preserve"> антигена в крови, которые производятся в соответствии с Приложением  № 5-8 к настоящему Порядку.</w:t>
      </w:r>
    </w:p>
    <w:p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10.</w:t>
      </w:r>
      <w:r>
        <w:rPr>
          <w:sz w:val="26"/>
          <w:szCs w:val="26"/>
        </w:rPr>
        <w:t xml:space="preserve"> Оплата завершенного комплексного посещения для проведения профилактического медицинского осмотра взрослого населения осуществляется в соответствии с тарифами, установленными Приложение № 2 к настоящему Порядку.</w:t>
      </w:r>
    </w:p>
    <w:p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11.</w:t>
      </w:r>
      <w:r>
        <w:rPr>
          <w:sz w:val="26"/>
          <w:szCs w:val="26"/>
        </w:rPr>
        <w:t xml:space="preserve"> Оплата завершенного комплексного посещения для проведения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этапа диспансеризации определенных гру</w:t>
      </w:r>
      <w:proofErr w:type="gramStart"/>
      <w:r>
        <w:rPr>
          <w:sz w:val="26"/>
          <w:szCs w:val="26"/>
        </w:rPr>
        <w:t>пп взр</w:t>
      </w:r>
      <w:proofErr w:type="gramEnd"/>
      <w:r>
        <w:rPr>
          <w:sz w:val="26"/>
          <w:szCs w:val="26"/>
        </w:rPr>
        <w:t>ослого населения осуществляется в соответствии с тарифами, установленными Приложение № 3 к настоящему Порядку.</w:t>
      </w:r>
    </w:p>
    <w:p>
      <w:pPr>
        <w:spacing w:line="276" w:lineRule="auto"/>
        <w:ind w:firstLine="567"/>
        <w:jc w:val="both"/>
        <w:rPr>
          <w:sz w:val="26"/>
          <w:szCs w:val="26"/>
        </w:rPr>
      </w:pPr>
    </w:p>
    <w:p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12.</w:t>
      </w:r>
      <w:r>
        <w:rPr>
          <w:sz w:val="26"/>
          <w:szCs w:val="26"/>
        </w:rPr>
        <w:t xml:space="preserve"> Второй этап диспансеризации считается законченным в случае выполнения осмотров, исследований и иных медицинских мероприятий, указанных в пункте 18 Порядка проведения профилактического медицинского осмотра и диспансеризации определенных групп взрослого населения, утвержденного приказом Минздрава России № 124н, необходимость </w:t>
      </w:r>
      <w:proofErr w:type="gramStart"/>
      <w:r>
        <w:rPr>
          <w:sz w:val="26"/>
          <w:szCs w:val="26"/>
        </w:rPr>
        <w:t>проведения</w:t>
      </w:r>
      <w:proofErr w:type="gramEnd"/>
      <w:r>
        <w:rPr>
          <w:sz w:val="26"/>
          <w:szCs w:val="26"/>
        </w:rPr>
        <w:t xml:space="preserve"> которых определена по результатам первого и второго этапов диспансеризации.</w:t>
      </w:r>
    </w:p>
    <w:p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Исследования второго этапа диспансеризации вне зависимости от периодичности их проведения подлежат оплате по отдельным тарифам, утвержденным Приложением № 4 к настоящему Порядку, за каждый прием врача-специалиста и каждое лабораторное и функциональное исследование второго этапа диспансеризации отдельно.</w:t>
      </w:r>
    </w:p>
    <w:p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13.</w:t>
      </w:r>
      <w:r>
        <w:rPr>
          <w:sz w:val="26"/>
          <w:szCs w:val="26"/>
        </w:rPr>
        <w:t xml:space="preserve">   Медицинские организации формируют </w:t>
      </w:r>
      <w:r>
        <w:rPr>
          <w:bCs/>
          <w:sz w:val="26"/>
          <w:szCs w:val="26"/>
        </w:rPr>
        <w:t>реестры счетов и счет на оплату расходов по проведению диспансеризации определенных гру</w:t>
      </w:r>
      <w:proofErr w:type="gramStart"/>
      <w:r>
        <w:rPr>
          <w:bCs/>
          <w:sz w:val="26"/>
          <w:szCs w:val="26"/>
        </w:rPr>
        <w:t>пп взр</w:t>
      </w:r>
      <w:proofErr w:type="gramEnd"/>
      <w:r>
        <w:rPr>
          <w:bCs/>
          <w:sz w:val="26"/>
          <w:szCs w:val="26"/>
        </w:rPr>
        <w:t>ослого населения в соответствии с требованиями приказа ФФОМС от 07.04.2011 N 79 (ред. от 13.12.2018) "Об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страхования"</w:t>
      </w:r>
      <w:r>
        <w:rPr>
          <w:sz w:val="26"/>
          <w:szCs w:val="26"/>
        </w:rPr>
        <w:t>.</w:t>
      </w:r>
    </w:p>
    <w:p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14.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ОМС».</w:t>
      </w:r>
      <w:proofErr w:type="gramEnd"/>
    </w:p>
    <w:p>
      <w:pPr>
        <w:spacing w:line="276" w:lineRule="auto"/>
        <w:ind w:firstLine="474"/>
        <w:jc w:val="both"/>
        <w:rPr>
          <w:sz w:val="26"/>
          <w:szCs w:val="26"/>
        </w:rPr>
      </w:pPr>
    </w:p>
    <w:p>
      <w:pPr>
        <w:spacing w:line="276" w:lineRule="auto"/>
        <w:ind w:firstLine="474"/>
        <w:jc w:val="both"/>
        <w:rPr>
          <w:sz w:val="26"/>
          <w:szCs w:val="26"/>
        </w:rPr>
      </w:pPr>
    </w:p>
    <w:p>
      <w:pPr>
        <w:spacing w:line="276" w:lineRule="auto"/>
        <w:ind w:firstLine="474"/>
        <w:jc w:val="both"/>
        <w:rPr>
          <w:sz w:val="26"/>
          <w:szCs w:val="26"/>
        </w:rPr>
      </w:pPr>
    </w:p>
    <w:p>
      <w:pPr>
        <w:spacing w:line="276" w:lineRule="auto"/>
        <w:ind w:firstLine="474"/>
        <w:jc w:val="both"/>
        <w:rPr>
          <w:sz w:val="26"/>
          <w:szCs w:val="26"/>
        </w:rPr>
      </w:pPr>
    </w:p>
    <w:p>
      <w:pPr>
        <w:spacing w:line="276" w:lineRule="auto"/>
        <w:ind w:firstLine="474"/>
        <w:jc w:val="both"/>
        <w:rPr>
          <w:sz w:val="26"/>
          <w:szCs w:val="26"/>
        </w:rPr>
      </w:pPr>
    </w:p>
    <w:p>
      <w:pPr>
        <w:spacing w:line="276" w:lineRule="auto"/>
        <w:ind w:firstLine="474"/>
        <w:jc w:val="both"/>
        <w:rPr>
          <w:sz w:val="26"/>
          <w:szCs w:val="26"/>
        </w:rPr>
      </w:pPr>
    </w:p>
    <w:p>
      <w:pPr>
        <w:spacing w:line="276" w:lineRule="auto"/>
        <w:ind w:firstLine="474"/>
        <w:jc w:val="both"/>
        <w:rPr>
          <w:sz w:val="26"/>
          <w:szCs w:val="26"/>
        </w:rPr>
      </w:pPr>
    </w:p>
    <w:p>
      <w:pPr>
        <w:spacing w:line="276" w:lineRule="auto"/>
        <w:ind w:firstLine="474"/>
        <w:jc w:val="both"/>
        <w:rPr>
          <w:sz w:val="26"/>
          <w:szCs w:val="26"/>
        </w:rPr>
      </w:pPr>
    </w:p>
    <w:p>
      <w:pPr>
        <w:spacing w:line="276" w:lineRule="auto"/>
        <w:ind w:firstLine="474"/>
        <w:jc w:val="both"/>
        <w:rPr>
          <w:sz w:val="26"/>
          <w:szCs w:val="26"/>
        </w:rPr>
      </w:pPr>
    </w:p>
    <w:p>
      <w:pPr>
        <w:spacing w:line="276" w:lineRule="auto"/>
        <w:ind w:firstLine="474"/>
        <w:jc w:val="both"/>
        <w:rPr>
          <w:sz w:val="26"/>
          <w:szCs w:val="26"/>
        </w:rPr>
      </w:pPr>
    </w:p>
    <w:p>
      <w:pPr>
        <w:spacing w:line="276" w:lineRule="auto"/>
        <w:ind w:firstLine="474"/>
        <w:jc w:val="both"/>
        <w:rPr>
          <w:sz w:val="26"/>
          <w:szCs w:val="26"/>
        </w:rPr>
      </w:pPr>
    </w:p>
    <w:p>
      <w:pPr>
        <w:spacing w:line="276" w:lineRule="auto"/>
        <w:ind w:firstLine="474"/>
        <w:jc w:val="both"/>
        <w:rPr>
          <w:sz w:val="26"/>
          <w:szCs w:val="26"/>
        </w:rPr>
      </w:pPr>
    </w:p>
    <w:p>
      <w:pPr>
        <w:spacing w:line="276" w:lineRule="auto"/>
        <w:ind w:firstLine="474"/>
        <w:jc w:val="both"/>
        <w:rPr>
          <w:sz w:val="26"/>
          <w:szCs w:val="26"/>
        </w:rPr>
      </w:pPr>
    </w:p>
    <w:p>
      <w:pPr>
        <w:spacing w:line="276" w:lineRule="auto"/>
        <w:ind w:firstLine="474"/>
        <w:jc w:val="both"/>
        <w:rPr>
          <w:sz w:val="26"/>
          <w:szCs w:val="26"/>
        </w:rPr>
      </w:pPr>
    </w:p>
    <w:p>
      <w:pPr>
        <w:spacing w:line="276" w:lineRule="auto"/>
        <w:ind w:firstLine="474"/>
        <w:jc w:val="both"/>
        <w:rPr>
          <w:sz w:val="26"/>
          <w:szCs w:val="26"/>
        </w:rPr>
      </w:pPr>
    </w:p>
    <w:p>
      <w:pPr>
        <w:spacing w:line="276" w:lineRule="auto"/>
        <w:ind w:firstLine="474"/>
        <w:jc w:val="both"/>
        <w:rPr>
          <w:sz w:val="26"/>
          <w:szCs w:val="26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ind w:left="6853"/>
        <w:jc w:val="right"/>
      </w:pPr>
      <w:r>
        <w:lastRenderedPageBreak/>
        <w:t xml:space="preserve">Приложение № 1                                             к Порядку оплаты профилактического медицинского осмотра и диспансеризации </w:t>
      </w:r>
    </w:p>
    <w:p>
      <w:pPr>
        <w:jc w:val="right"/>
      </w:pPr>
      <w:r>
        <w:t xml:space="preserve">определенных групп </w:t>
      </w:r>
    </w:p>
    <w:p>
      <w:pPr>
        <w:ind w:left="6853"/>
        <w:jc w:val="right"/>
      </w:pPr>
      <w:r>
        <w:t>взрослого населения</w:t>
      </w:r>
    </w:p>
    <w:p>
      <w:pPr>
        <w:ind w:left="6853"/>
        <w:jc w:val="right"/>
      </w:pPr>
    </w:p>
    <w:p>
      <w:pPr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Тарифы на оплату медицинской помощи  </w:t>
      </w:r>
    </w:p>
    <w:p>
      <w:pPr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(осмотр, исследование, мероприятие) </w:t>
      </w:r>
    </w:p>
    <w:p>
      <w:pPr>
        <w:jc w:val="center"/>
      </w:pPr>
      <w:r>
        <w:rPr>
          <w:b/>
          <w:bCs/>
          <w:color w:val="000000"/>
          <w:sz w:val="22"/>
          <w:szCs w:val="22"/>
        </w:rPr>
        <w:t>в рамках проведения профилактического медицинского осмотра и диспансеризации определенных гру</w:t>
      </w:r>
      <w:proofErr w:type="gramStart"/>
      <w:r>
        <w:rPr>
          <w:b/>
          <w:bCs/>
          <w:color w:val="000000"/>
          <w:sz w:val="22"/>
          <w:szCs w:val="22"/>
        </w:rPr>
        <w:t>пп взр</w:t>
      </w:r>
      <w:proofErr w:type="gramEnd"/>
      <w:r>
        <w:rPr>
          <w:b/>
          <w:bCs/>
          <w:color w:val="000000"/>
          <w:sz w:val="22"/>
          <w:szCs w:val="22"/>
        </w:rPr>
        <w:t>ослого населения</w:t>
      </w:r>
    </w:p>
    <w:p>
      <w:pPr>
        <w:ind w:left="6853"/>
        <w:jc w:val="right"/>
      </w:pPr>
    </w:p>
    <w:tbl>
      <w:tblPr>
        <w:tblW w:w="10034" w:type="dxa"/>
        <w:tblInd w:w="-318" w:type="dxa"/>
        <w:tblLook w:val="04A0" w:firstRow="1" w:lastRow="0" w:firstColumn="1" w:lastColumn="0" w:noHBand="0" w:noVBand="1"/>
      </w:tblPr>
      <w:tblGrid>
        <w:gridCol w:w="1753"/>
        <w:gridCol w:w="6728"/>
        <w:gridCol w:w="1469"/>
        <w:gridCol w:w="84"/>
      </w:tblGrid>
      <w:tr>
        <w:trPr>
          <w:trHeight w:val="843"/>
          <w:tblHeader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Код услуги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Осмотр (исследование, манипуляция)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Цена за одну услугу (рублей)</w:t>
            </w:r>
          </w:p>
        </w:tc>
      </w:tr>
      <w:tr>
        <w:trPr>
          <w:trHeight w:val="240"/>
          <w:tblHeader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>
        <w:trPr>
          <w:trHeight w:val="819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A01.30.026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 (анкетирование) на выявление хронических неинфекционных заболеваний, факторов риска их развития, потребления наркотических средств и психотропных веществ без назначения врача*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trHeight w:val="419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A02.07.004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Антропометрия (измерение </w:t>
            </w:r>
            <w:proofErr w:type="gramStart"/>
            <w:r>
              <w:rPr>
                <w:sz w:val="22"/>
                <w:szCs w:val="22"/>
              </w:rPr>
              <w:t>роста</w:t>
            </w:r>
            <w:proofErr w:type="gramEnd"/>
            <w:r>
              <w:rPr>
                <w:sz w:val="22"/>
                <w:szCs w:val="22"/>
              </w:rPr>
              <w:t xml:space="preserve"> стоя, массы тела, окружности талии), расчет индекса массы тела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66,5</w:t>
            </w:r>
          </w:p>
        </w:tc>
      </w:tr>
      <w:tr>
        <w:trPr>
          <w:trHeight w:val="419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A02.12.002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Измерение артериального давления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36,3</w:t>
            </w:r>
          </w:p>
        </w:tc>
      </w:tr>
      <w:tr>
        <w:trPr>
          <w:trHeight w:val="437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A09.05.026.001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уровня общего холестерина в крови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131,8</w:t>
            </w:r>
          </w:p>
        </w:tc>
      </w:tr>
      <w:tr>
        <w:trPr>
          <w:trHeight w:val="439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A09.05.023.001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уровня глюкозы в крови натощак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140,3</w:t>
            </w:r>
          </w:p>
        </w:tc>
      </w:tr>
      <w:tr>
        <w:trPr>
          <w:trHeight w:val="455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B04.047.002.003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Определение относительного суммарного </w:t>
            </w:r>
            <w:proofErr w:type="gramStart"/>
            <w:r>
              <w:rPr>
                <w:sz w:val="22"/>
                <w:szCs w:val="22"/>
              </w:rPr>
              <w:t>сердечно-сосудистого</w:t>
            </w:r>
            <w:proofErr w:type="gramEnd"/>
            <w:r>
              <w:rPr>
                <w:sz w:val="22"/>
                <w:szCs w:val="22"/>
              </w:rPr>
              <w:t xml:space="preserve"> риска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26,1</w:t>
            </w:r>
          </w:p>
        </w:tc>
      </w:tr>
      <w:tr>
        <w:trPr>
          <w:trHeight w:val="419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B04.047.002.004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Определение абсолютного </w:t>
            </w:r>
            <w:proofErr w:type="gramStart"/>
            <w:r>
              <w:rPr>
                <w:sz w:val="22"/>
                <w:szCs w:val="22"/>
              </w:rPr>
              <w:t>сердечно-сосудистого</w:t>
            </w:r>
            <w:proofErr w:type="gramEnd"/>
            <w:r>
              <w:rPr>
                <w:sz w:val="22"/>
                <w:szCs w:val="22"/>
              </w:rPr>
              <w:t xml:space="preserve"> риска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52,3</w:t>
            </w:r>
          </w:p>
        </w:tc>
      </w:tr>
      <w:tr>
        <w:trPr>
          <w:trHeight w:val="419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A12.26.007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Измерение внутриглазного давления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437,6</w:t>
            </w:r>
          </w:p>
        </w:tc>
      </w:tr>
      <w:tr>
        <w:trPr>
          <w:trHeight w:val="415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A05.10.001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Электрокардиография (в покое) 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625,3</w:t>
            </w:r>
          </w:p>
        </w:tc>
      </w:tr>
      <w:tr>
        <w:trPr>
          <w:trHeight w:val="407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A06.09.006.010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Флюорография легких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490,5</w:t>
            </w:r>
          </w:p>
        </w:tc>
      </w:tr>
      <w:tr>
        <w:trPr>
          <w:trHeight w:val="410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B04.001.002.001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Осмотр фельдшером (акушеркой) или врачом акушером-гинекологом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702,5</w:t>
            </w:r>
          </w:p>
        </w:tc>
      </w:tr>
      <w:tr>
        <w:trPr>
          <w:trHeight w:val="410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B04.047.002.001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Приём (осмотр) по результатам профилактического медицинского осмотра, в том числе осмотр на выявление визуальных и иных локализаций онкологических заболеваний, включающий осмотр кожных покровов, слизистых губ и ротовой полости, пальпацию щитовидной железы, лимфатических узлов, фельдшером фельдшерского здравпункта или фельдшерско-акушерского пункта, врачо</w:t>
            </w:r>
            <w:proofErr w:type="gramStart"/>
            <w:r>
              <w:rPr>
                <w:sz w:val="22"/>
                <w:szCs w:val="22"/>
              </w:rPr>
              <w:t>м-</w:t>
            </w:r>
            <w:proofErr w:type="gramEnd"/>
            <w:r>
              <w:rPr>
                <w:sz w:val="22"/>
                <w:szCs w:val="22"/>
              </w:rPr>
              <w:t xml:space="preserve"> терапевтом или врачом по медицинской профилактике отделения (кабинета) медицинской профилактики или центра здоровья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840,3</w:t>
            </w:r>
          </w:p>
        </w:tc>
      </w:tr>
      <w:tr>
        <w:trPr>
          <w:trHeight w:val="410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B03.016.002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Общий анализ крови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323,5</w:t>
            </w:r>
          </w:p>
        </w:tc>
      </w:tr>
      <w:tr>
        <w:trPr>
          <w:trHeight w:val="410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A09.19.001.010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Исследование кала на скрытую кровь иммунохимическим методом 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173,6</w:t>
            </w:r>
          </w:p>
        </w:tc>
      </w:tr>
      <w:tr>
        <w:trPr>
          <w:trHeight w:val="415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A09.05.130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Определение </w:t>
            </w:r>
            <w:proofErr w:type="spellStart"/>
            <w:r>
              <w:rPr>
                <w:sz w:val="22"/>
                <w:szCs w:val="22"/>
              </w:rPr>
              <w:t>простатспецифического</w:t>
            </w:r>
            <w:proofErr w:type="spellEnd"/>
            <w:r>
              <w:rPr>
                <w:sz w:val="22"/>
                <w:szCs w:val="22"/>
              </w:rPr>
              <w:t xml:space="preserve"> антигена (ПСА) в крови 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629,9</w:t>
            </w:r>
          </w:p>
        </w:tc>
      </w:tr>
      <w:tr>
        <w:trPr>
          <w:trHeight w:val="344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A06.20.004.010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Маммография обеих молочных желез в двух проекциях (для женщин)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1 137,9</w:t>
            </w:r>
          </w:p>
        </w:tc>
      </w:tr>
      <w:tr>
        <w:trPr>
          <w:trHeight w:val="273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Взятие с использованием щетки цитологической цервикальной мазка (соскоба) с поверхности шейки матки (наружного маточного </w:t>
            </w:r>
            <w:r>
              <w:rPr>
                <w:sz w:val="22"/>
                <w:szCs w:val="22"/>
              </w:rPr>
              <w:lastRenderedPageBreak/>
              <w:t>зева) и цервикального канала на цитологическое исследование (далее - мазок с шейки матки), цитологическое исследование мазка с шейки матки, в том числе: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446,2</w:t>
            </w:r>
          </w:p>
        </w:tc>
      </w:tr>
      <w:tr>
        <w:trPr>
          <w:trHeight w:val="510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A11.20.025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 взятие мазка (соскоба) с поверхности шейки матки (наружного маточного зева) и цервикального канала на цитологическое исследование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197,8</w:t>
            </w:r>
          </w:p>
        </w:tc>
      </w:tr>
      <w:tr>
        <w:trPr>
          <w:trHeight w:val="361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A08.20.017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цитологическое исследование полученного материала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248,4</w:t>
            </w:r>
          </w:p>
        </w:tc>
      </w:tr>
      <w:tr>
        <w:trPr>
          <w:trHeight w:val="529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B04.070.002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Краткое индивидуальное профилактическое консультирование 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222,5</w:t>
            </w:r>
          </w:p>
        </w:tc>
      </w:tr>
      <w:tr>
        <w:trPr>
          <w:trHeight w:val="529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A03.16.001.001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Эзофагогастродуоденоскопия</w:t>
            </w:r>
            <w:proofErr w:type="spellEnd"/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2293,4</w:t>
            </w:r>
          </w:p>
        </w:tc>
      </w:tr>
      <w:tr>
        <w:trPr>
          <w:trHeight w:val="529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B04.047.002.002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Прием (осмотр) врачом-терапевтом по результатам первого этапа диспансеризации, в том числе осмотр на выявление визуальных и иных локализаций онкологических заболеваний, включающий осмотр кожных покровов, слизистых губ и ротовой полости, пальпация щитовидной железы, лимфатических узлов, с целью установления диагноза, определения группы здоровья, группы диспансерного наблюдения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840,3</w:t>
            </w:r>
          </w:p>
        </w:tc>
      </w:tr>
      <w:tr>
        <w:trPr>
          <w:trHeight w:val="615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A04.12.004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Дуплексное сканирование брахицефальных артерий (для мужчин в возрасте от 45 до 72 лет включительно и женщин в возрасте от 54 до 72 лет включительно при наличии комбинации трех факторов риска развития хронических неинфекционных заболеваний: повышенный уровень артериального давления, </w:t>
            </w:r>
            <w:proofErr w:type="spellStart"/>
            <w:r>
              <w:rPr>
                <w:sz w:val="22"/>
                <w:szCs w:val="22"/>
              </w:rPr>
              <w:t>гиперхолестеринемия</w:t>
            </w:r>
            <w:proofErr w:type="spellEnd"/>
            <w:r>
              <w:rPr>
                <w:sz w:val="22"/>
                <w:szCs w:val="22"/>
              </w:rPr>
              <w:t>, избыточная масса тела или ожирение, а также по направлению врача-невролога при впервые выявленном указании или подозрении на ранее перенесенное острое нарушение</w:t>
            </w:r>
            <w:proofErr w:type="gramEnd"/>
            <w:r>
              <w:rPr>
                <w:sz w:val="22"/>
                <w:szCs w:val="22"/>
              </w:rPr>
              <w:t xml:space="preserve"> мозгового кровообращения для граждан в возрасте от 65 до 90 лет, не находящихся по этому поводу под диспансерным наблюдением)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1275,8</w:t>
            </w:r>
          </w:p>
        </w:tc>
      </w:tr>
      <w:tr>
        <w:trPr>
          <w:trHeight w:val="131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A03.16.001.002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Эзофагогастродуоденоскопия</w:t>
            </w:r>
            <w:proofErr w:type="spellEnd"/>
            <w:r>
              <w:rPr>
                <w:sz w:val="22"/>
                <w:szCs w:val="22"/>
              </w:rPr>
              <w:t xml:space="preserve"> (для граждан в случае подозрения на злокачественные новообразования пищевода, желудка и двенадцатиперстной кишки по назначению врача-терапевта)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2293,4</w:t>
            </w:r>
          </w:p>
        </w:tc>
      </w:tr>
      <w:tr>
        <w:trPr>
          <w:trHeight w:val="688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B04.023.002.001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Осмотр (консультация) врачом-неврологом (при наличии впервые выявленных указаний или подозрений на ранее перенесенное острое нарушение мозгового кровообращения для граждан, не находящихся по этому поводу под диспансерным наблюдением, а также в случаях выявления по результатам анкетирования нарушений двигательной функции, когнитивных нарушений и подозрений на депрессию у граждан в возрасте 65 лет и старше, не находящихся по этому поводу под диспансерным наблюдением)</w:t>
            </w:r>
            <w:proofErr w:type="gramEnd"/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</w:tr>
      <w:tr>
        <w:trPr>
          <w:trHeight w:val="416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B04.053.002.001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Осмотр (консультацию) врачом-хирургом или врачом-урологом (для мужчин в возрасте 45, 50, 55, 60 и 64 лет при повышении уровня </w:t>
            </w:r>
            <w:proofErr w:type="gramStart"/>
            <w:r>
              <w:rPr>
                <w:sz w:val="22"/>
                <w:szCs w:val="22"/>
              </w:rPr>
              <w:t>простат-специфического</w:t>
            </w:r>
            <w:proofErr w:type="gramEnd"/>
            <w:r>
              <w:rPr>
                <w:sz w:val="22"/>
                <w:szCs w:val="22"/>
              </w:rPr>
              <w:t xml:space="preserve"> антигена в крови более 4 </w:t>
            </w:r>
            <w:proofErr w:type="spellStart"/>
            <w:r>
              <w:rPr>
                <w:sz w:val="22"/>
                <w:szCs w:val="22"/>
              </w:rPr>
              <w:t>нг</w:t>
            </w:r>
            <w:proofErr w:type="spellEnd"/>
            <w:r>
              <w:rPr>
                <w:sz w:val="22"/>
                <w:szCs w:val="22"/>
              </w:rPr>
              <w:t>/мл)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701,4</w:t>
            </w:r>
          </w:p>
        </w:tc>
      </w:tr>
      <w:tr>
        <w:trPr>
          <w:trHeight w:val="982"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B04.057.002.001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Осмотр (консультация) врачом-хирургом или врачом-</w:t>
            </w:r>
            <w:proofErr w:type="spellStart"/>
            <w:r>
              <w:rPr>
                <w:sz w:val="22"/>
                <w:szCs w:val="22"/>
              </w:rPr>
              <w:t>колопроктологом</w:t>
            </w:r>
            <w:proofErr w:type="spellEnd"/>
            <w:r>
              <w:rPr>
                <w:sz w:val="22"/>
                <w:szCs w:val="22"/>
              </w:rPr>
              <w:t xml:space="preserve">  включая проведение </w:t>
            </w:r>
            <w:proofErr w:type="spellStart"/>
            <w:r>
              <w:rPr>
                <w:sz w:val="22"/>
                <w:szCs w:val="22"/>
              </w:rPr>
              <w:t>ректороманоскопии</w:t>
            </w:r>
            <w:proofErr w:type="spellEnd"/>
            <w:r>
              <w:rPr>
                <w:sz w:val="22"/>
                <w:szCs w:val="22"/>
              </w:rPr>
              <w:t xml:space="preserve"> (для граждан в возрасте от 40 до 75 лет включительно с выявленными патологическими изменениями по результатам скрининга на выявление злокачественных новообразований толстого кишечника и прямой кишки, при отягощенной наследственности </w:t>
            </w:r>
            <w:proofErr w:type="gramStart"/>
            <w:r>
              <w:rPr>
                <w:sz w:val="22"/>
                <w:szCs w:val="22"/>
              </w:rPr>
              <w:t>по семейному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аденоматозу</w:t>
            </w:r>
            <w:proofErr w:type="spellEnd"/>
            <w:r>
              <w:rPr>
                <w:sz w:val="22"/>
                <w:szCs w:val="22"/>
              </w:rPr>
              <w:t xml:space="preserve"> и (или) злокачественным новообразованиям толстого кишечника и прямой кишки, при выявлении других медицинских показаний по результатам анкетирования, а также по назначению </w:t>
            </w:r>
            <w:r>
              <w:rPr>
                <w:sz w:val="22"/>
                <w:szCs w:val="22"/>
              </w:rPr>
              <w:lastRenderedPageBreak/>
              <w:t>врача-терапевта, врача-уролога, врача-акушера-гинеколога в случаях выявления симптомов злокачественных новообразований толстого кишечника и прямой кишки)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1817,20</w:t>
            </w:r>
          </w:p>
        </w:tc>
      </w:tr>
      <w:tr>
        <w:trPr>
          <w:trHeight w:val="501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A03.18.001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Колоноскопия</w:t>
            </w:r>
            <w:proofErr w:type="spellEnd"/>
            <w:r>
              <w:rPr>
                <w:sz w:val="22"/>
                <w:szCs w:val="22"/>
              </w:rPr>
              <w:t xml:space="preserve">  (для граждан в случае подозрения на злокачественные новообразования толстого кишечника по назначению врача-хирурга или врача-</w:t>
            </w:r>
            <w:proofErr w:type="spellStart"/>
            <w:r>
              <w:rPr>
                <w:sz w:val="22"/>
                <w:szCs w:val="22"/>
              </w:rPr>
              <w:t>колопроктолога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3978,2</w:t>
            </w:r>
          </w:p>
        </w:tc>
      </w:tr>
      <w:tr>
        <w:trPr>
          <w:trHeight w:val="745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А12.09.002.003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Спирометрия  (для граждан с подозрением на хроническое бронхолегочное заболевание, курящих граждан, выявленных по результатам анкетирования, - по назначению врача-терапевта)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111,4</w:t>
            </w:r>
          </w:p>
        </w:tc>
      </w:tr>
      <w:tr>
        <w:trPr>
          <w:trHeight w:val="495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B04.001.002.002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Осмотр (консультация) врачом-акушером-гинекологом (для женщин в возрасте 18 лет и старше с выявленными патологическими изменениями по результатам скрининга на выявление злокачественных новообразований шейки матки, в возрасте от 40 до 75 лет с выявленными патологическими изменениями по результатам мероприятий скрининга, направленного на раннее выявление злокачественных новообразований молочных желез)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702,5</w:t>
            </w:r>
          </w:p>
        </w:tc>
      </w:tr>
      <w:tr>
        <w:trPr>
          <w:trHeight w:val="495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B04.028.002.001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Осмотр (консультация) врачом-</w:t>
            </w:r>
            <w:proofErr w:type="spellStart"/>
            <w:r>
              <w:rPr>
                <w:sz w:val="22"/>
                <w:szCs w:val="22"/>
              </w:rPr>
              <w:t>оториноларингологом</w:t>
            </w:r>
            <w:proofErr w:type="spellEnd"/>
            <w:r>
              <w:rPr>
                <w:sz w:val="22"/>
                <w:szCs w:val="22"/>
              </w:rPr>
              <w:t xml:space="preserve"> (для граждан в возрасте 65 лет и старше при наличии медицинских показаний по результатам анкетирования или приема (осмотра) врача-терапевта)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564,50</w:t>
            </w:r>
          </w:p>
        </w:tc>
      </w:tr>
      <w:tr>
        <w:trPr>
          <w:trHeight w:val="495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B04.029.002.001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Осмотр (консультация) врачом-офтальмологом (для граждан в возрасте 40 лет и старше, имеющих повышенное внутриглазное давление, и для граждан в возрасте 65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600,9</w:t>
            </w:r>
          </w:p>
        </w:tc>
      </w:tr>
      <w:tr>
        <w:trPr>
          <w:trHeight w:val="495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B04.070.009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Индивидуальное или групповое (школы для пациентов) углубленного профилактического консультирования в отделении (кабинете) медицинской профилактики (центре здоровья)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593,60</w:t>
            </w:r>
          </w:p>
        </w:tc>
      </w:tr>
      <w:tr>
        <w:trPr>
          <w:trHeight w:val="495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A06.09.007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color w:val="C00000"/>
                <w:sz w:val="22"/>
                <w:szCs w:val="22"/>
              </w:rPr>
            </w:pPr>
            <w:r>
              <w:rPr>
                <w:color w:val="C00000"/>
                <w:sz w:val="22"/>
                <w:szCs w:val="22"/>
              </w:rPr>
              <w:t>Рентгенография легких, компьютерную томографию легких (для граждан в случае подозрения на злокачественные новообразования легкого по назначению врача-терапевта)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754,80</w:t>
            </w:r>
          </w:p>
        </w:tc>
      </w:tr>
      <w:tr>
        <w:trPr>
          <w:trHeight w:val="495"/>
        </w:trPr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B04.047.002.005</w:t>
            </w:r>
          </w:p>
        </w:tc>
        <w:tc>
          <w:tcPr>
            <w:tcW w:w="6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Прием (осмотр) врачом-терапевтом по результатам второго этапа диспансеризации, включающий установление (уточнение) диагноза, определение (уточнение) группы здоровья, определение группы диспансерного наблюдения (с учетом заключений врачей-специалистов), направление граждан при наличии медицинских показаний на дополнительное обследование, не входящее в объем диспансеризации, в том числе направление на осмотр (консультацию) врачом-онкологом при подозрении на онкологические заболевания в соответствии с Порядком оказания медицинской помощи населению по</w:t>
            </w:r>
            <w:proofErr w:type="gramEnd"/>
            <w:r>
              <w:rPr>
                <w:sz w:val="22"/>
                <w:szCs w:val="22"/>
              </w:rPr>
              <w:t xml:space="preserve"> профилю "онкология", утвержденным приказом Минздрава России от 15 ноября 2012 г. N 915н, а также для получения специализированной, в том числе высокотехнологичной, медицинской помощи, на санаторно-курортное лечение</w:t>
            </w:r>
          </w:p>
        </w:tc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840,30</w:t>
            </w:r>
          </w:p>
        </w:tc>
      </w:tr>
      <w:tr>
        <w:trPr>
          <w:gridAfter w:val="1"/>
          <w:wAfter w:w="84" w:type="dxa"/>
          <w:trHeight w:val="70"/>
        </w:trPr>
        <w:tc>
          <w:tcPr>
            <w:tcW w:w="9950" w:type="dxa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 расходы на проведение исследования (манипуляции) учтены в тарифе врача-терапевта</w:t>
            </w:r>
          </w:p>
        </w:tc>
      </w:tr>
    </w:tbl>
    <w:p/>
    <w:p>
      <w:pPr>
        <w:ind w:left="6853"/>
        <w:jc w:val="right"/>
      </w:pPr>
    </w:p>
    <w:p>
      <w:pPr>
        <w:ind w:left="6853"/>
        <w:jc w:val="right"/>
      </w:pPr>
    </w:p>
    <w:p>
      <w:pPr>
        <w:ind w:left="6853"/>
        <w:jc w:val="right"/>
      </w:pPr>
    </w:p>
    <w:p>
      <w:pPr>
        <w:ind w:left="6853"/>
        <w:jc w:val="right"/>
      </w:pPr>
    </w:p>
    <w:p>
      <w:pPr>
        <w:ind w:left="6853"/>
        <w:jc w:val="right"/>
      </w:pPr>
    </w:p>
    <w:p>
      <w:pPr>
        <w:ind w:left="6853"/>
        <w:jc w:val="right"/>
      </w:pPr>
    </w:p>
    <w:p>
      <w:pPr>
        <w:ind w:left="6853"/>
        <w:jc w:val="right"/>
      </w:pPr>
      <w:r>
        <w:lastRenderedPageBreak/>
        <w:t xml:space="preserve">Приложение  № 2                                 к Порядку оплаты профилактического медицинского осмотра и диспансеризации </w:t>
      </w:r>
    </w:p>
    <w:p>
      <w:pPr>
        <w:jc w:val="right"/>
      </w:pPr>
      <w:r>
        <w:t xml:space="preserve">определенных групп </w:t>
      </w:r>
    </w:p>
    <w:p>
      <w:pPr>
        <w:ind w:left="6804"/>
        <w:jc w:val="right"/>
        <w:rPr>
          <w:b/>
        </w:rPr>
      </w:pPr>
      <w:r>
        <w:t>взрослого населения</w:t>
      </w:r>
      <w:r>
        <w:rPr>
          <w:b/>
        </w:rPr>
        <w:t xml:space="preserve"> 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ТАРИФЫ</w:t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проведение профилактического медицинского осмотра взрослого населения Магаданской области на 2019 год (вступают в действие с 01 мая 2019 года)  (ОПВ)</w:t>
      </w: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tbl>
      <w:tblPr>
        <w:tblW w:w="9560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3000"/>
        <w:gridCol w:w="1843"/>
        <w:gridCol w:w="2835"/>
        <w:gridCol w:w="1882"/>
      </w:tblGrid>
      <w:tr>
        <w:trPr>
          <w:trHeight w:val="315"/>
        </w:trPr>
        <w:tc>
          <w:tcPr>
            <w:tcW w:w="9560" w:type="dxa"/>
            <w:gridSpan w:val="4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000000" w:fill="F2DCDB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ПРОФИЛАКТИЧЕСКИЙ МЕДИЦИНСКИЙ ОСМОТР ВЗРОСЛОГО НАСЕЛЕНИЯ</w:t>
            </w:r>
          </w:p>
        </w:tc>
      </w:tr>
      <w:tr>
        <w:trPr>
          <w:trHeight w:val="315"/>
        </w:trPr>
        <w:tc>
          <w:tcPr>
            <w:tcW w:w="4843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000000" w:fill="F2DCDB"/>
            <w:vAlign w:val="bottom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F2DCDB"/>
            <w:vAlign w:val="bottom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ЖЕНЩИНЫ</w:t>
            </w:r>
          </w:p>
        </w:tc>
      </w:tr>
      <w:tr>
        <w:trPr>
          <w:trHeight w:val="330"/>
        </w:trPr>
        <w:tc>
          <w:tcPr>
            <w:tcW w:w="300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возраст (лет)</w:t>
            </w:r>
          </w:p>
        </w:tc>
        <w:tc>
          <w:tcPr>
            <w:tcW w:w="184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2DCDB"/>
            <w:noWrap/>
            <w:vAlign w:val="bottom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Стоимость одного комплексного посещения        (руб.)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возраст (лет)</w:t>
            </w:r>
          </w:p>
        </w:tc>
        <w:tc>
          <w:tcPr>
            <w:tcW w:w="188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2DCDB"/>
            <w:noWrap/>
            <w:vAlign w:val="bottom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Стоимость одного комплексного посещения        (руб.)</w:t>
            </w:r>
          </w:p>
        </w:tc>
      </w:tr>
      <w:tr>
        <w:trPr>
          <w:trHeight w:val="645"/>
        </w:trPr>
        <w:tc>
          <w:tcPr>
            <w:tcW w:w="30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18, 20, 22, 24, 26, 28, 30, 32, 34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1 731,8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18, 20, 22, 24, 26, 28, 30, 32, 34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2 434,3</w:t>
            </w:r>
          </w:p>
        </w:tc>
      </w:tr>
      <w:tr>
        <w:trPr>
          <w:trHeight w:val="360"/>
        </w:trPr>
        <w:tc>
          <w:tcPr>
            <w:tcW w:w="30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19, 21, 23, 25, 27, 29, 31,33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1 241,3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19, 21, 23, 25, 27, 29, 31,33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1 943,8</w:t>
            </w:r>
          </w:p>
        </w:tc>
      </w:tr>
      <w:tr>
        <w:trPr>
          <w:trHeight w:val="360"/>
        </w:trPr>
        <w:tc>
          <w:tcPr>
            <w:tcW w:w="30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35, 37, 39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1 866,6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35, 37, 39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2 569,1</w:t>
            </w:r>
          </w:p>
        </w:tc>
      </w:tr>
      <w:tr>
        <w:trPr>
          <w:trHeight w:val="360"/>
        </w:trPr>
        <w:tc>
          <w:tcPr>
            <w:tcW w:w="30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36, 38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2 357,1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36, 38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3 059,6</w:t>
            </w:r>
          </w:p>
        </w:tc>
      </w:tr>
      <w:tr>
        <w:trPr>
          <w:trHeight w:val="645"/>
        </w:trPr>
        <w:tc>
          <w:tcPr>
            <w:tcW w:w="30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40, 42, 44, 46, 48, 50, 52, 54, 56, 58, 60, 62, 64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2 820,9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40, 42, 44, 46, 48, 50, 52, 54, 56, 58, 60, 62, 64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3 523,4</w:t>
            </w:r>
          </w:p>
        </w:tc>
      </w:tr>
      <w:tr>
        <w:trPr>
          <w:trHeight w:val="720"/>
        </w:trPr>
        <w:tc>
          <w:tcPr>
            <w:tcW w:w="30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41, 43, 45, 47, 49, 51, 53, 55, 57, 59, 61, 63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2 330,4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41, 43, 45, 47, 49, 51, 53, 55, 57, 59, 61, 63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2 330,4</w:t>
            </w:r>
          </w:p>
        </w:tc>
      </w:tr>
      <w:tr>
        <w:trPr>
          <w:trHeight w:val="990"/>
        </w:trPr>
        <w:tc>
          <w:tcPr>
            <w:tcW w:w="30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65, 67, 69, 71, 73, 75, 77, 79, 81, 83, 85, 87, 89, 91, 93, 95, 97,99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2 278,1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65, 67, 69, 71, 73, 75, 77, 79, 81, 83, 85, 87, 89, 91, 93, 95, 97,99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2 278,1</w:t>
            </w:r>
          </w:p>
        </w:tc>
      </w:tr>
      <w:tr>
        <w:trPr>
          <w:trHeight w:val="1125"/>
        </w:trPr>
        <w:tc>
          <w:tcPr>
            <w:tcW w:w="30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66, 68, 70, 72, 74, 76, 78, 80, 82, 84, 86, 88, 90, 92, 94, 96, 98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2 768,6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66, 68, 70, 72, 74, 76, 78, 80, 82, 84, 86, 88, 90, 92, 94, 96, 98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2 768,6</w:t>
            </w:r>
          </w:p>
        </w:tc>
      </w:tr>
      <w:tr>
        <w:trPr>
          <w:trHeight w:val="360"/>
        </w:trPr>
        <w:tc>
          <w:tcPr>
            <w:tcW w:w="30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>
      <w:pPr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9613"/>
      </w:tblGrid>
      <w:tr>
        <w:trPr>
          <w:trHeight w:val="420"/>
        </w:trPr>
        <w:tc>
          <w:tcPr>
            <w:tcW w:w="9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ind w:left="6853"/>
              <w:jc w:val="right"/>
            </w:pPr>
            <w:r>
              <w:lastRenderedPageBreak/>
              <w:t xml:space="preserve">Приложение № 3                                             к Порядку оплаты профилактического медицинского осмотра и диспансеризации </w:t>
            </w:r>
          </w:p>
          <w:p>
            <w:pPr>
              <w:jc w:val="right"/>
            </w:pPr>
            <w:r>
              <w:t xml:space="preserve">определенных групп </w:t>
            </w:r>
          </w:p>
          <w:p>
            <w:pPr>
              <w:jc w:val="right"/>
            </w:pPr>
            <w:r>
              <w:t>взрослого населения</w:t>
            </w:r>
          </w:p>
        </w:tc>
      </w:tr>
    </w:tbl>
    <w:p>
      <w:pPr>
        <w:tabs>
          <w:tab w:val="left" w:pos="7392"/>
        </w:tabs>
        <w:spacing w:line="240" w:lineRule="atLeast"/>
      </w:pPr>
    </w:p>
    <w:p>
      <w:pPr>
        <w:tabs>
          <w:tab w:val="left" w:pos="7392"/>
        </w:tabs>
        <w:spacing w:line="240" w:lineRule="atLeast"/>
        <w:jc w:val="right"/>
      </w:pPr>
    </w:p>
    <w:p>
      <w:pPr>
        <w:jc w:val="center"/>
        <w:rPr>
          <w:b/>
        </w:rPr>
      </w:pPr>
      <w:r>
        <w:rPr>
          <w:b/>
        </w:rPr>
        <w:t>ТАРИФЫ</w:t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проведение диспансеризации определенных групп взрослого населения Магаданской области на 2019 год (вступают в действие с 01 мая 2019 года) (ДВ</w:t>
      </w:r>
      <w:proofErr w:type="gramStart"/>
      <w:r>
        <w:rPr>
          <w:b/>
          <w:sz w:val="24"/>
          <w:szCs w:val="24"/>
        </w:rPr>
        <w:t>1</w:t>
      </w:r>
      <w:proofErr w:type="gramEnd"/>
      <w:r>
        <w:rPr>
          <w:b/>
          <w:sz w:val="24"/>
          <w:szCs w:val="24"/>
        </w:rPr>
        <w:t>)</w:t>
      </w:r>
    </w:p>
    <w:p>
      <w:pPr>
        <w:jc w:val="center"/>
      </w:pPr>
    </w:p>
    <w:tbl>
      <w:tblPr>
        <w:tblW w:w="9853" w:type="dxa"/>
        <w:tblInd w:w="85" w:type="dxa"/>
        <w:tblLook w:val="04A0" w:firstRow="1" w:lastRow="0" w:firstColumn="1" w:lastColumn="0" w:noHBand="0" w:noVBand="1"/>
      </w:tblPr>
      <w:tblGrid>
        <w:gridCol w:w="2847"/>
        <w:gridCol w:w="1854"/>
        <w:gridCol w:w="3402"/>
        <w:gridCol w:w="1750"/>
      </w:tblGrid>
      <w:tr>
        <w:trPr>
          <w:trHeight w:val="315"/>
        </w:trPr>
        <w:tc>
          <w:tcPr>
            <w:tcW w:w="9853" w:type="dxa"/>
            <w:gridSpan w:val="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000000" w:fill="F2DCDB"/>
            <w:vAlign w:val="bottom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Стоимость I этапа диспансеризации </w:t>
            </w:r>
          </w:p>
        </w:tc>
      </w:tr>
      <w:tr>
        <w:trPr>
          <w:trHeight w:val="315"/>
        </w:trPr>
        <w:tc>
          <w:tcPr>
            <w:tcW w:w="4701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000000" w:fill="F2DCDB"/>
            <w:vAlign w:val="bottom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5152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F2DCDB"/>
            <w:vAlign w:val="bottom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ЖЕНЩИНЫ</w:t>
            </w:r>
          </w:p>
        </w:tc>
      </w:tr>
      <w:tr>
        <w:trPr>
          <w:trHeight w:val="330"/>
        </w:trPr>
        <w:tc>
          <w:tcPr>
            <w:tcW w:w="2847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возраст (лет)</w:t>
            </w:r>
          </w:p>
        </w:tc>
        <w:tc>
          <w:tcPr>
            <w:tcW w:w="185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2DCDB"/>
            <w:noWrap/>
            <w:vAlign w:val="bottom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Стоимость одного комплексного посещения        (руб.)</w:t>
            </w:r>
          </w:p>
        </w:tc>
        <w:tc>
          <w:tcPr>
            <w:tcW w:w="340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возраст (лет)</w:t>
            </w:r>
          </w:p>
        </w:tc>
        <w:tc>
          <w:tcPr>
            <w:tcW w:w="17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2DCDB"/>
            <w:noWrap/>
            <w:vAlign w:val="bottom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Стоимость одного комплексного посещения        (руб.)</w:t>
            </w:r>
          </w:p>
        </w:tc>
      </w:tr>
      <w:tr>
        <w:trPr>
          <w:trHeight w:val="330"/>
        </w:trPr>
        <w:tc>
          <w:tcPr>
            <w:tcW w:w="284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18, 24, 30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1 954,3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18, 24, 30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2 400,5</w:t>
            </w:r>
          </w:p>
        </w:tc>
      </w:tr>
      <w:tr>
        <w:trPr>
          <w:trHeight w:val="360"/>
        </w:trPr>
        <w:tc>
          <w:tcPr>
            <w:tcW w:w="284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21, 27, 33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1 463,8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21, 27, 33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1 910,0</w:t>
            </w:r>
          </w:p>
        </w:tc>
      </w:tr>
      <w:tr>
        <w:trPr>
          <w:trHeight w:val="360"/>
        </w:trPr>
        <w:tc>
          <w:tcPr>
            <w:tcW w:w="284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2 579,6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3 025,8</w:t>
            </w:r>
          </w:p>
        </w:tc>
      </w:tr>
      <w:tr>
        <w:trPr>
          <w:trHeight w:val="360"/>
        </w:trPr>
        <w:tc>
          <w:tcPr>
            <w:tcW w:w="284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2 089,1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2 535,3</w:t>
            </w:r>
          </w:p>
        </w:tc>
      </w:tr>
      <w:tr>
        <w:trPr>
          <w:trHeight w:val="360"/>
        </w:trPr>
        <w:tc>
          <w:tcPr>
            <w:tcW w:w="284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40, 44, 46, 52, 56, 58,62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3 318,0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40, 44, 46, 50, 52, 56,58, 62, 64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5 158,4</w:t>
            </w:r>
          </w:p>
        </w:tc>
      </w:tr>
      <w:tr>
        <w:trPr>
          <w:trHeight w:val="360"/>
        </w:trPr>
        <w:tc>
          <w:tcPr>
            <w:tcW w:w="284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41, 43, 47, 49, 53, 59, 61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3 144,4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41, 43, 47, 49, 53, 55, 59, 61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3 356,4</w:t>
            </w:r>
          </w:p>
        </w:tc>
      </w:tr>
      <w:tr>
        <w:trPr>
          <w:trHeight w:val="360"/>
        </w:trPr>
        <w:tc>
          <w:tcPr>
            <w:tcW w:w="284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42, 48, 51, 54, 57, 63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3 540,5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42, 48, 54, 60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5 827,1</w:t>
            </w:r>
          </w:p>
        </w:tc>
      </w:tr>
      <w:tr>
        <w:trPr>
          <w:trHeight w:val="360"/>
        </w:trPr>
        <w:tc>
          <w:tcPr>
            <w:tcW w:w="284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6 463,8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6 318,5</w:t>
            </w:r>
          </w:p>
        </w:tc>
      </w:tr>
      <w:tr>
        <w:trPr>
          <w:trHeight w:val="360"/>
        </w:trPr>
        <w:tc>
          <w:tcPr>
            <w:tcW w:w="284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50, 64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3 947,9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51, 57, 63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4 025,1</w:t>
            </w:r>
          </w:p>
        </w:tc>
      </w:tr>
      <w:tr>
        <w:trPr>
          <w:trHeight w:val="360"/>
        </w:trPr>
        <w:tc>
          <w:tcPr>
            <w:tcW w:w="284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3 774,3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65, 71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3 700,2</w:t>
            </w:r>
          </w:p>
        </w:tc>
      </w:tr>
      <w:tr>
        <w:trPr>
          <w:trHeight w:val="360"/>
        </w:trPr>
        <w:tc>
          <w:tcPr>
            <w:tcW w:w="284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4 170,4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66, 70, 72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5 106,1</w:t>
            </w:r>
          </w:p>
        </w:tc>
      </w:tr>
      <w:tr>
        <w:trPr>
          <w:trHeight w:val="360"/>
        </w:trPr>
        <w:tc>
          <w:tcPr>
            <w:tcW w:w="284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65, 71, 77, 83, 89, 95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2 997,7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67, 69, 73, 75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3 477,7</w:t>
            </w:r>
          </w:p>
        </w:tc>
      </w:tr>
      <w:tr>
        <w:trPr>
          <w:trHeight w:val="360"/>
        </w:trPr>
        <w:tc>
          <w:tcPr>
            <w:tcW w:w="284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66, 70, 72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3 265,7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68,74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5 328,6</w:t>
            </w:r>
          </w:p>
        </w:tc>
      </w:tr>
      <w:tr>
        <w:trPr>
          <w:trHeight w:val="360"/>
        </w:trPr>
        <w:tc>
          <w:tcPr>
            <w:tcW w:w="284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67, 69, 73, 75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2 775,2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76, 78, 82, 84, 88, 90, 94, 96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3 794,6</w:t>
            </w:r>
          </w:p>
        </w:tc>
      </w:tr>
      <w:tr>
        <w:trPr>
          <w:trHeight w:val="360"/>
        </w:trPr>
        <w:tc>
          <w:tcPr>
            <w:tcW w:w="284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68, 74, 80, 86, 92, 98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3 488,2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77, 83, 89, 95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3 526,6</w:t>
            </w:r>
          </w:p>
        </w:tc>
      </w:tr>
      <w:tr>
        <w:trPr>
          <w:trHeight w:val="360"/>
        </w:trPr>
        <w:tc>
          <w:tcPr>
            <w:tcW w:w="284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76, 78, 82, 84, 88, 90, 94, 96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3 092,1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79, 81, 85, 87, 91, 93, 97, 99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3 304,1</w:t>
            </w:r>
          </w:p>
        </w:tc>
      </w:tr>
      <w:tr>
        <w:trPr>
          <w:trHeight w:val="360"/>
        </w:trPr>
        <w:tc>
          <w:tcPr>
            <w:tcW w:w="284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79, 81, 85, 87, 91, 93, 97, 99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2 601,6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80, 86, 92, 98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4 017,1</w:t>
            </w:r>
          </w:p>
        </w:tc>
      </w:tr>
    </w:tbl>
    <w:p>
      <w:pPr>
        <w:rPr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ind w:left="6804"/>
        <w:jc w:val="right"/>
      </w:pPr>
    </w:p>
    <w:p>
      <w:pPr>
        <w:ind w:left="6804"/>
        <w:jc w:val="right"/>
      </w:pPr>
    </w:p>
    <w:p>
      <w:pPr>
        <w:ind w:left="6804"/>
        <w:jc w:val="right"/>
      </w:pPr>
    </w:p>
    <w:p>
      <w:pPr>
        <w:ind w:left="6804"/>
        <w:jc w:val="right"/>
      </w:pPr>
    </w:p>
    <w:p>
      <w:pPr>
        <w:ind w:left="6804"/>
        <w:jc w:val="right"/>
      </w:pPr>
    </w:p>
    <w:p>
      <w:pPr>
        <w:ind w:left="6804"/>
        <w:jc w:val="right"/>
      </w:pPr>
    </w:p>
    <w:p>
      <w:pPr>
        <w:ind w:left="6804"/>
        <w:jc w:val="right"/>
      </w:pPr>
      <w:bookmarkStart w:id="0" w:name="_GoBack"/>
      <w:bookmarkEnd w:id="0"/>
      <w:r>
        <w:lastRenderedPageBreak/>
        <w:t xml:space="preserve">Приложение  4 к  Порядку оплаты профилактического медицинского осмотра и диспансеризации </w:t>
      </w:r>
    </w:p>
    <w:p>
      <w:pPr>
        <w:jc w:val="right"/>
      </w:pPr>
      <w:r>
        <w:t xml:space="preserve">определенных групп </w:t>
      </w:r>
    </w:p>
    <w:p>
      <w:pPr>
        <w:jc w:val="right"/>
      </w:pPr>
      <w:r>
        <w:t>взрослого населения</w:t>
      </w:r>
    </w:p>
    <w:p/>
    <w:p/>
    <w:p>
      <w:pPr>
        <w:jc w:val="center"/>
        <w:rPr>
          <w:b/>
          <w:sz w:val="24"/>
        </w:rPr>
      </w:pPr>
      <w:r>
        <w:rPr>
          <w:b/>
          <w:sz w:val="24"/>
        </w:rPr>
        <w:t>Стоимость медицинских услуг, относящихся к  II этапу диспансеризации определенных групп взрослого населения (ДВ</w:t>
      </w:r>
      <w:proofErr w:type="gramStart"/>
      <w:r>
        <w:rPr>
          <w:b/>
          <w:sz w:val="24"/>
        </w:rPr>
        <w:t>2</w:t>
      </w:r>
      <w:proofErr w:type="gramEnd"/>
      <w:r>
        <w:rPr>
          <w:b/>
          <w:sz w:val="24"/>
        </w:rPr>
        <w:t>)</w:t>
      </w:r>
    </w:p>
    <w:p>
      <w:pPr>
        <w:rPr>
          <w:b/>
          <w:sz w:val="24"/>
        </w:rPr>
      </w:pPr>
    </w:p>
    <w:tbl>
      <w:tblPr>
        <w:tblW w:w="9817" w:type="dxa"/>
        <w:tblInd w:w="93" w:type="dxa"/>
        <w:tblLook w:val="04A0" w:firstRow="1" w:lastRow="0" w:firstColumn="1" w:lastColumn="0" w:noHBand="0" w:noVBand="1"/>
      </w:tblPr>
      <w:tblGrid>
        <w:gridCol w:w="1738"/>
        <w:gridCol w:w="6499"/>
        <w:gridCol w:w="1580"/>
      </w:tblGrid>
      <w:tr>
        <w:trPr>
          <w:trHeight w:val="615"/>
          <w:tblHeader/>
        </w:trPr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Код услуги</w:t>
            </w:r>
          </w:p>
        </w:tc>
        <w:tc>
          <w:tcPr>
            <w:tcW w:w="6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DCDB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услуги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Стоимость одной услуги (руб.)</w:t>
            </w:r>
          </w:p>
        </w:tc>
      </w:tr>
      <w:tr>
        <w:trPr>
          <w:trHeight w:val="315"/>
          <w:tblHeader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noWrap/>
            <w:vAlign w:val="bottom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>
        <w:trPr>
          <w:trHeight w:val="2865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A04.12.004</w:t>
            </w:r>
          </w:p>
        </w:tc>
        <w:tc>
          <w:tcPr>
            <w:tcW w:w="6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proofErr w:type="gramStart"/>
            <w:r>
              <w:rPr>
                <w:sz w:val="22"/>
                <w:szCs w:val="22"/>
              </w:rPr>
              <w:t xml:space="preserve">Дуплексное сканирование брахицефальных артерий (для мужчин в возрасте от 45 до 72 лет включительно и женщин в возрасте от 54 до 72 лет включительно при наличии комбинации трех факторов риска развития хронических неинфекционных заболеваний: повышенный уровень артериального давления, </w:t>
            </w:r>
            <w:proofErr w:type="spellStart"/>
            <w:r>
              <w:rPr>
                <w:sz w:val="22"/>
                <w:szCs w:val="22"/>
              </w:rPr>
              <w:t>гиперхолестеринемия</w:t>
            </w:r>
            <w:proofErr w:type="spellEnd"/>
            <w:r>
              <w:rPr>
                <w:sz w:val="22"/>
                <w:szCs w:val="22"/>
              </w:rPr>
              <w:t>, избыточная масса тела или ожирение, а также по направлению врача-невролога при впервые выявленном указании или подозрении на ранее перенесенное острое нарушение</w:t>
            </w:r>
            <w:proofErr w:type="gramEnd"/>
            <w:r>
              <w:rPr>
                <w:sz w:val="22"/>
                <w:szCs w:val="22"/>
              </w:rPr>
              <w:t xml:space="preserve"> мозгового кровообращения для граждан в возрасте от 65 до 90 лет, не находящихся по этому поводу под диспансерным наблюдением)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1275,8</w:t>
            </w:r>
          </w:p>
        </w:tc>
      </w:tr>
      <w:tr>
        <w:trPr>
          <w:trHeight w:val="108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A03.16.001.002</w:t>
            </w:r>
          </w:p>
        </w:tc>
        <w:tc>
          <w:tcPr>
            <w:tcW w:w="6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proofErr w:type="spellStart"/>
            <w:r>
              <w:rPr>
                <w:sz w:val="22"/>
                <w:szCs w:val="22"/>
              </w:rPr>
              <w:t>Эзофагогастродуоденоскопия</w:t>
            </w:r>
            <w:proofErr w:type="spellEnd"/>
            <w:r>
              <w:rPr>
                <w:sz w:val="22"/>
                <w:szCs w:val="22"/>
              </w:rPr>
              <w:t xml:space="preserve"> (для граждан в случае подозрения на злокачественные новообразования пищевода, желудка и двенадцатиперстной кишки по назначению врача-терапевта)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2293,4</w:t>
            </w:r>
          </w:p>
        </w:tc>
      </w:tr>
      <w:tr>
        <w:trPr>
          <w:trHeight w:val="225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B04.023.002.001</w:t>
            </w:r>
          </w:p>
        </w:tc>
        <w:tc>
          <w:tcPr>
            <w:tcW w:w="6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proofErr w:type="gramStart"/>
            <w:r>
              <w:rPr>
                <w:sz w:val="22"/>
                <w:szCs w:val="22"/>
              </w:rPr>
              <w:t>Осмотр (консультация) врачом-неврологом (при наличии впервые выявленных указаний или подозрений на ранее перенесенное острое нарушение мозгового кровообращения для граждан, не находящихся по этому поводу под диспансерным наблюдением, а также в случаях выявления по результатам анкетирования нарушений двигательной функции, когнитивных нарушений и подозрений на депрессию у граждан в возрасте 65 лет и старше, не находящихся по этому поводу под диспансерным наблюдением)</w:t>
            </w:r>
            <w:proofErr w:type="gramEnd"/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722,3</w:t>
            </w:r>
          </w:p>
        </w:tc>
      </w:tr>
      <w:tr>
        <w:trPr>
          <w:trHeight w:val="1305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B04.053.002.001</w:t>
            </w:r>
          </w:p>
        </w:tc>
        <w:tc>
          <w:tcPr>
            <w:tcW w:w="6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Осмотр (консультацию) врачом-хирургом или врачом-урологом (для мужчин в возрасте 45, 50, 55, 60 и 64 лет при повышении уровня </w:t>
            </w:r>
            <w:proofErr w:type="gramStart"/>
            <w:r>
              <w:rPr>
                <w:sz w:val="22"/>
                <w:szCs w:val="22"/>
              </w:rPr>
              <w:t>простат-специфического</w:t>
            </w:r>
            <w:proofErr w:type="gramEnd"/>
            <w:r>
              <w:rPr>
                <w:sz w:val="22"/>
                <w:szCs w:val="22"/>
              </w:rPr>
              <w:t xml:space="preserve"> антигена в крови более 4 </w:t>
            </w:r>
            <w:proofErr w:type="spellStart"/>
            <w:r>
              <w:rPr>
                <w:sz w:val="22"/>
                <w:szCs w:val="22"/>
              </w:rPr>
              <w:t>нг</w:t>
            </w:r>
            <w:proofErr w:type="spellEnd"/>
            <w:r>
              <w:rPr>
                <w:sz w:val="22"/>
                <w:szCs w:val="22"/>
              </w:rPr>
              <w:t>/мл)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701,4</w:t>
            </w:r>
          </w:p>
        </w:tc>
      </w:tr>
      <w:tr>
        <w:trPr>
          <w:trHeight w:val="327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B04.057.002.001</w:t>
            </w:r>
          </w:p>
        </w:tc>
        <w:tc>
          <w:tcPr>
            <w:tcW w:w="6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Осмотр (консультация) врачом-хирургом или врачом-</w:t>
            </w:r>
            <w:proofErr w:type="spellStart"/>
            <w:r>
              <w:rPr>
                <w:sz w:val="22"/>
                <w:szCs w:val="22"/>
              </w:rPr>
              <w:t>колопроктологом</w:t>
            </w:r>
            <w:proofErr w:type="spellEnd"/>
            <w:r>
              <w:rPr>
                <w:sz w:val="22"/>
                <w:szCs w:val="22"/>
              </w:rPr>
              <w:t xml:space="preserve">  включая проведение </w:t>
            </w:r>
            <w:proofErr w:type="spellStart"/>
            <w:r>
              <w:rPr>
                <w:sz w:val="22"/>
                <w:szCs w:val="22"/>
              </w:rPr>
              <w:t>ректороманоскопии</w:t>
            </w:r>
            <w:proofErr w:type="spellEnd"/>
            <w:r>
              <w:rPr>
                <w:sz w:val="22"/>
                <w:szCs w:val="22"/>
              </w:rPr>
              <w:t xml:space="preserve"> (для граждан в возрасте от 40 до 75 лет включительно с выявленными патологическими изменениями по результатам скрининга на выявление злокачественных новообразований толстого кишечника и прямой кишки, при отягощенной наследственности </w:t>
            </w:r>
            <w:proofErr w:type="gramStart"/>
            <w:r>
              <w:rPr>
                <w:sz w:val="22"/>
                <w:szCs w:val="22"/>
              </w:rPr>
              <w:t>по семейному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аденоматозу</w:t>
            </w:r>
            <w:proofErr w:type="spellEnd"/>
            <w:r>
              <w:rPr>
                <w:sz w:val="22"/>
                <w:szCs w:val="22"/>
              </w:rPr>
              <w:t xml:space="preserve"> и (или) злокачественным новообразованиям толстого кишечника и прямой кишки, при выявлении других медицинских показаний по результатам анкетирования, а также по назначению врача-терапевта, врача-уролога, врача-акушера-гинеколога в случаях выявления симптомов злокачественных новообразований толстого кишечника и прямой кишки)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1817,20</w:t>
            </w:r>
          </w:p>
        </w:tc>
      </w:tr>
      <w:tr>
        <w:trPr>
          <w:trHeight w:val="915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A03.18.001</w:t>
            </w:r>
          </w:p>
        </w:tc>
        <w:tc>
          <w:tcPr>
            <w:tcW w:w="6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</w:t>
            </w:r>
            <w:proofErr w:type="spellStart"/>
            <w:r>
              <w:rPr>
                <w:sz w:val="22"/>
                <w:szCs w:val="22"/>
              </w:rPr>
              <w:t>Колоноскопия</w:t>
            </w:r>
            <w:proofErr w:type="spellEnd"/>
            <w:r>
              <w:rPr>
                <w:sz w:val="22"/>
                <w:szCs w:val="22"/>
              </w:rPr>
              <w:t xml:space="preserve">  (для граждан в случае подозрения на злокачественные новообразования толстого кишечника по назначению врача-хирурга или врача-</w:t>
            </w:r>
            <w:proofErr w:type="spellStart"/>
            <w:r>
              <w:rPr>
                <w:sz w:val="22"/>
                <w:szCs w:val="22"/>
              </w:rPr>
              <w:t>колопроктолога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3978,2</w:t>
            </w:r>
          </w:p>
        </w:tc>
      </w:tr>
      <w:tr>
        <w:trPr>
          <w:trHeight w:val="114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А12.09.002.003</w:t>
            </w:r>
          </w:p>
        </w:tc>
        <w:tc>
          <w:tcPr>
            <w:tcW w:w="6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Спирометрия  (для граждан с подозрением на хроническое бронхолегочное заболевание, курящих граждан, выявленных по результатам анкетирования, - по назначению врача-терапевта)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111,4</w:t>
            </w:r>
          </w:p>
        </w:tc>
      </w:tr>
      <w:tr>
        <w:trPr>
          <w:trHeight w:val="1815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B04.001.002.002</w:t>
            </w:r>
          </w:p>
        </w:tc>
        <w:tc>
          <w:tcPr>
            <w:tcW w:w="6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Осмотр (консультация) врачом-акушером-гинекологом (для женщин в возрасте 18 лет и старше с выявленными патологическими изменениями по результатам скрининга на выявление злокачественных новообразований шейки матки, в возрасте от 40 до 75 лет с выявленными патологическими изменениями по результатам мероприятий скрининга, направленного на раннее выявление злокачественных новообразований молочных желез)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99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B04.028.002.001</w:t>
            </w:r>
          </w:p>
        </w:tc>
        <w:tc>
          <w:tcPr>
            <w:tcW w:w="6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Осмотр (консультация</w:t>
            </w:r>
            <w:proofErr w:type="gramStart"/>
            <w:r>
              <w:rPr>
                <w:sz w:val="22"/>
                <w:szCs w:val="22"/>
              </w:rPr>
              <w:t>)в</w:t>
            </w:r>
            <w:proofErr w:type="gramEnd"/>
            <w:r>
              <w:rPr>
                <w:sz w:val="22"/>
                <w:szCs w:val="22"/>
              </w:rPr>
              <w:t>рачом-</w:t>
            </w:r>
            <w:proofErr w:type="spellStart"/>
            <w:r>
              <w:rPr>
                <w:sz w:val="22"/>
                <w:szCs w:val="22"/>
              </w:rPr>
              <w:t>оториноларингологом</w:t>
            </w:r>
            <w:proofErr w:type="spellEnd"/>
            <w:r>
              <w:rPr>
                <w:sz w:val="22"/>
                <w:szCs w:val="22"/>
              </w:rPr>
              <w:t xml:space="preserve"> (для граждан в возрасте 65 лет и старше при наличии медицинских показаний по результатам анкетирования или приема (осмотра) врача-терапевта)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564,50</w:t>
            </w:r>
          </w:p>
        </w:tc>
      </w:tr>
      <w:tr>
        <w:trPr>
          <w:trHeight w:val="1305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B04.029.002.001</w:t>
            </w:r>
          </w:p>
        </w:tc>
        <w:tc>
          <w:tcPr>
            <w:tcW w:w="6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 Осмотр (консультация) врачом-офтальмологом (для граждан в возрасте 40 лет и старше, имеющих повышенное внутриглазное давление, и для граждан в возрасте 65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600,9</w:t>
            </w:r>
          </w:p>
        </w:tc>
      </w:tr>
      <w:tr>
        <w:trPr>
          <w:trHeight w:val="105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B04.070.009</w:t>
            </w:r>
          </w:p>
        </w:tc>
        <w:tc>
          <w:tcPr>
            <w:tcW w:w="6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 Индивидуальное или групповое (школы для пациентов) углубленного профилактического консультирования в отделении (кабинете) медицинской профилактики (центре здоровья)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593,60</w:t>
            </w:r>
          </w:p>
        </w:tc>
      </w:tr>
      <w:tr>
        <w:trPr>
          <w:trHeight w:val="915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A06.09.007</w:t>
            </w:r>
          </w:p>
        </w:tc>
        <w:tc>
          <w:tcPr>
            <w:tcW w:w="6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C00000"/>
                <w:sz w:val="22"/>
                <w:szCs w:val="22"/>
              </w:rPr>
            </w:pPr>
            <w:r>
              <w:rPr>
                <w:color w:val="C00000"/>
                <w:sz w:val="22"/>
                <w:szCs w:val="22"/>
              </w:rPr>
              <w:t>12.  Рентгенография легких, компьютерную томографию легких (для граждан в случае подозрения на злокачественные новообразования легкого по назначению врача-терапевта)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754,80</w:t>
            </w:r>
          </w:p>
        </w:tc>
      </w:tr>
      <w:tr>
        <w:trPr>
          <w:trHeight w:val="3718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B04.047.002.005</w:t>
            </w:r>
          </w:p>
        </w:tc>
        <w:tc>
          <w:tcPr>
            <w:tcW w:w="6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 </w:t>
            </w:r>
            <w:proofErr w:type="gramStart"/>
            <w:r>
              <w:rPr>
                <w:sz w:val="22"/>
                <w:szCs w:val="22"/>
              </w:rPr>
              <w:t>Прием (осмотр) врачом-терапевтом по результатам второго этапа диспансеризации, включающий установление (уточнение) диагноза, определение (уточнение) группы здоровья, определение группы диспансерного наблюдения (с учетом заключений врачей-специалистов), направление граждан при наличии медицинских показаний на дополнительное обследование, не входящее в объем диспансеризации, в том числе направление на осмотр (консультацию) врачом-онкологом при подозрении на онкологические заболевания в соответствии с Порядком оказания медицинской помощи населению по</w:t>
            </w:r>
            <w:proofErr w:type="gramEnd"/>
            <w:r>
              <w:rPr>
                <w:sz w:val="22"/>
                <w:szCs w:val="22"/>
              </w:rPr>
              <w:t xml:space="preserve"> профилю "онкология", утвержденным приказом Минздрава России от 15 ноября 2012 г. N 915н, а также для получения специализированной, в том числе высокотехнологичной, медицинской помощи, на санаторно-курортное лечение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840,30</w:t>
            </w:r>
          </w:p>
        </w:tc>
      </w:tr>
    </w:tbl>
    <w:p>
      <w:pPr>
        <w:autoSpaceDE w:val="0"/>
        <w:autoSpaceDN w:val="0"/>
        <w:adjustRightInd w:val="0"/>
        <w:jc w:val="right"/>
        <w:outlineLvl w:val="0"/>
      </w:pPr>
    </w:p>
    <w:sectPr>
      <w:footerReference w:type="default" r:id="rId9"/>
      <w:pgSz w:w="11906" w:h="16838"/>
      <w:pgMar w:top="1134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6554694"/>
      <w:docPartObj>
        <w:docPartGallery w:val="Page Numbers (Bottom of Page)"/>
        <w:docPartUnique/>
      </w:docPartObj>
    </w:sdtPr>
    <w:sdtContent>
      <w:p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0AD7075"/>
    <w:multiLevelType w:val="hybridMultilevel"/>
    <w:tmpl w:val="83DC3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FA6FC1"/>
    <w:multiLevelType w:val="hybridMultilevel"/>
    <w:tmpl w:val="175EDA9E"/>
    <w:lvl w:ilvl="0" w:tplc="4420D5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10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1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E91F3B"/>
    <w:multiLevelType w:val="hybridMultilevel"/>
    <w:tmpl w:val="83DC3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5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7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7"/>
  </w:num>
  <w:num w:numId="4">
    <w:abstractNumId w:val="10"/>
  </w:num>
  <w:num w:numId="5">
    <w:abstractNumId w:val="8"/>
  </w:num>
  <w:num w:numId="6">
    <w:abstractNumId w:val="0"/>
  </w:num>
  <w:num w:numId="7">
    <w:abstractNumId w:val="16"/>
  </w:num>
  <w:num w:numId="8">
    <w:abstractNumId w:val="7"/>
  </w:num>
  <w:num w:numId="9">
    <w:abstractNumId w:val="11"/>
  </w:num>
  <w:num w:numId="10">
    <w:abstractNumId w:val="14"/>
  </w:num>
  <w:num w:numId="11">
    <w:abstractNumId w:val="12"/>
  </w:num>
  <w:num w:numId="12">
    <w:abstractNumId w:val="2"/>
  </w:num>
  <w:num w:numId="13">
    <w:abstractNumId w:val="3"/>
  </w:num>
  <w:num w:numId="14">
    <w:abstractNumId w:val="18"/>
  </w:num>
  <w:num w:numId="15">
    <w:abstractNumId w:val="15"/>
  </w:num>
  <w:num w:numId="16">
    <w:abstractNumId w:val="9"/>
  </w:num>
  <w:num w:numId="17">
    <w:abstractNumId w:val="6"/>
  </w:num>
  <w:num w:numId="18">
    <w:abstractNumId w:val="1"/>
  </w:num>
  <w:num w:numId="19">
    <w:abstractNumId w:val="13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6CCA0-C554-4923-98CE-254F30A82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4384</TotalTime>
  <Pages>11</Pages>
  <Words>2762</Words>
  <Characters>19303</Characters>
  <Application>Microsoft Office Word</Application>
  <DocSecurity>0</DocSecurity>
  <Lines>160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22021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Казенцева О.И.</cp:lastModifiedBy>
  <cp:revision>365</cp:revision>
  <cp:lastPrinted>2019-05-24T00:43:00Z</cp:lastPrinted>
  <dcterms:created xsi:type="dcterms:W3CDTF">2013-04-08T23:06:00Z</dcterms:created>
  <dcterms:modified xsi:type="dcterms:W3CDTF">2019-05-24T00:45:00Z</dcterms:modified>
</cp:coreProperties>
</file>